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F24B" w14:textId="0AE477A5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  <w:r w:rsidRPr="00FE2614">
        <w:rPr>
          <w:rFonts w:ascii="Century"/>
        </w:rPr>
        <w:t>Internal rules for using biological information analysis systems</w:t>
      </w:r>
      <w:r w:rsidR="00BE746F">
        <w:rPr>
          <w:rFonts w:ascii="Century"/>
        </w:rPr>
        <w:t xml:space="preserve"> (</w:t>
      </w:r>
      <w:r w:rsidR="00BE746F">
        <w:rPr>
          <w:rFonts w:ascii="Century"/>
        </w:rPr>
        <w:t>“</w:t>
      </w:r>
      <w:r w:rsidR="00BE746F">
        <w:rPr>
          <w:rFonts w:ascii="Century"/>
        </w:rPr>
        <w:t>soroban</w:t>
      </w:r>
      <w:r w:rsidR="00BE746F">
        <w:rPr>
          <w:rFonts w:ascii="Century"/>
        </w:rPr>
        <w:t>”</w:t>
      </w:r>
      <w:r w:rsidR="00BE746F">
        <w:rPr>
          <w:rFonts w:ascii="Century"/>
        </w:rPr>
        <w:t xml:space="preserve"> server)</w:t>
      </w:r>
    </w:p>
    <w:p w14:paraId="12FA20B5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</w:p>
    <w:p w14:paraId="20C5842A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  <w:r w:rsidRPr="00FE2614">
        <w:rPr>
          <w:rFonts w:ascii="Century"/>
        </w:rPr>
        <w:t>(Effect)</w:t>
      </w:r>
    </w:p>
    <w:p w14:paraId="546C12E0" w14:textId="354A749E" w:rsidR="00FE2614" w:rsidRPr="00FE2614" w:rsidRDefault="00FE2614" w:rsidP="009E0059">
      <w:pPr>
        <w:pStyle w:val="BodyText"/>
        <w:numPr>
          <w:ilvl w:val="0"/>
          <w:numId w:val="2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These regulations govern the use of the "Biological Information Analysis System" and related computer services provided by </w:t>
      </w:r>
      <w:r w:rsidR="00491FBF" w:rsidRPr="00FE2614">
        <w:rPr>
          <w:rFonts w:ascii="Century"/>
        </w:rPr>
        <w:t xml:space="preserve">the Information Management and Analysis </w:t>
      </w:r>
      <w:r w:rsidR="00491FBF">
        <w:rPr>
          <w:rFonts w:ascii="Century"/>
        </w:rPr>
        <w:t xml:space="preserve">Office, </w:t>
      </w:r>
      <w:r w:rsidR="00CF7728" w:rsidRPr="00CF7728">
        <w:rPr>
          <w:rFonts w:ascii="Century"/>
        </w:rPr>
        <w:t>the Center of Modeling and Computational Science</w:t>
      </w:r>
      <w:r w:rsidR="008B7ECE">
        <w:rPr>
          <w:rFonts w:ascii="Century"/>
        </w:rPr>
        <w:t xml:space="preserve"> (hereinafter referred to as </w:t>
      </w:r>
      <w:r w:rsidR="008B7ECE">
        <w:rPr>
          <w:rFonts w:ascii="Century"/>
        </w:rPr>
        <w:t>“</w:t>
      </w:r>
      <w:r w:rsidR="008B7ECE">
        <w:rPr>
          <w:rFonts w:ascii="Century"/>
        </w:rPr>
        <w:t>CMCC</w:t>
      </w:r>
      <w:r w:rsidR="008B7ECE">
        <w:rPr>
          <w:rFonts w:ascii="Century"/>
        </w:rPr>
        <w:t>”</w:t>
      </w:r>
      <w:r w:rsidR="008B7ECE">
        <w:rPr>
          <w:rFonts w:ascii="Century"/>
        </w:rPr>
        <w:t>)</w:t>
      </w:r>
      <w:r w:rsidR="00CF7728" w:rsidRPr="00CF7728">
        <w:rPr>
          <w:rFonts w:ascii="Century"/>
        </w:rPr>
        <w:t>, University of La Frontera</w:t>
      </w:r>
      <w:r w:rsidR="008B7ECE">
        <w:rPr>
          <w:rFonts w:ascii="Century"/>
        </w:rPr>
        <w:t xml:space="preserve"> (hereinafter referred to as </w:t>
      </w:r>
      <w:r w:rsidR="008B7ECE">
        <w:rPr>
          <w:rFonts w:ascii="Century"/>
        </w:rPr>
        <w:t>“</w:t>
      </w:r>
      <w:r w:rsidR="008B7ECE">
        <w:rPr>
          <w:rFonts w:ascii="Century"/>
        </w:rPr>
        <w:t>UFRO</w:t>
      </w:r>
      <w:r w:rsidR="008B7ECE">
        <w:rPr>
          <w:rFonts w:ascii="Century"/>
        </w:rPr>
        <w:t>”</w:t>
      </w:r>
      <w:r w:rsidR="008B7ECE">
        <w:rPr>
          <w:rFonts w:ascii="Century"/>
        </w:rPr>
        <w:t>)</w:t>
      </w:r>
      <w:r w:rsidR="00CF7728" w:rsidRPr="00CF7728">
        <w:rPr>
          <w:rFonts w:ascii="Century"/>
        </w:rPr>
        <w:t>, Chile</w:t>
      </w:r>
      <w:r w:rsidRPr="00FE2614">
        <w:rPr>
          <w:rFonts w:ascii="Century"/>
        </w:rPr>
        <w:t>.</w:t>
      </w:r>
    </w:p>
    <w:p w14:paraId="511D107D" w14:textId="383787F8" w:rsidR="00FE2614" w:rsidRDefault="00B972BF" w:rsidP="009E0059">
      <w:pPr>
        <w:pStyle w:val="BodyText"/>
        <w:numPr>
          <w:ilvl w:val="0"/>
          <w:numId w:val="2"/>
        </w:numPr>
        <w:spacing w:before="4" w:line="297" w:lineRule="auto"/>
        <w:rPr>
          <w:rFonts w:ascii="Century"/>
        </w:rPr>
      </w:pPr>
      <w:r>
        <w:rPr>
          <w:rFonts w:ascii="Century"/>
        </w:rPr>
        <w:t>T</w:t>
      </w:r>
      <w:r w:rsidRPr="00FE2614">
        <w:rPr>
          <w:rFonts w:ascii="Century"/>
        </w:rPr>
        <w:t xml:space="preserve">he Information Management and Analysis </w:t>
      </w:r>
      <w:r>
        <w:rPr>
          <w:rFonts w:ascii="Century"/>
        </w:rPr>
        <w:t xml:space="preserve">Office is composed of members of CMCC and members of the project SATREPS-MACH. </w:t>
      </w:r>
    </w:p>
    <w:p w14:paraId="5D2B8885" w14:textId="77777777" w:rsidR="00B972BF" w:rsidRPr="00FE2614" w:rsidRDefault="00B972BF" w:rsidP="00FE2614">
      <w:pPr>
        <w:pStyle w:val="BodyText"/>
        <w:spacing w:before="4" w:line="297" w:lineRule="auto"/>
        <w:ind w:left="559"/>
        <w:rPr>
          <w:rFonts w:ascii="Century"/>
          <w:lang w:eastAsia="ja-JP"/>
        </w:rPr>
      </w:pPr>
    </w:p>
    <w:p w14:paraId="630E6193" w14:textId="7FF761D0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  <w:r w:rsidRPr="00FE2614">
        <w:rPr>
          <w:rFonts w:ascii="Century"/>
        </w:rPr>
        <w:t>(</w:t>
      </w:r>
      <w:r w:rsidR="00172393">
        <w:rPr>
          <w:rFonts w:ascii="Century"/>
        </w:rPr>
        <w:t>P</w:t>
      </w:r>
      <w:r w:rsidRPr="00FE2614">
        <w:rPr>
          <w:rFonts w:ascii="Century"/>
        </w:rPr>
        <w:t>urpose of use)</w:t>
      </w:r>
    </w:p>
    <w:p w14:paraId="39C24042" w14:textId="6EA85A8E" w:rsidR="00FE2614" w:rsidRPr="00FE2614" w:rsidRDefault="00FE2614" w:rsidP="009E0059">
      <w:pPr>
        <w:pStyle w:val="BodyText"/>
        <w:numPr>
          <w:ilvl w:val="0"/>
          <w:numId w:val="2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>The purpose of this system is to provide computational resources and services for conducting biological research using large-scale biological information.</w:t>
      </w:r>
    </w:p>
    <w:p w14:paraId="6C28077B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</w:p>
    <w:p w14:paraId="56B3DBEA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  <w:r w:rsidRPr="00FE2614">
        <w:rPr>
          <w:rFonts w:ascii="Century"/>
        </w:rPr>
        <w:t>(Eligibility)</w:t>
      </w:r>
    </w:p>
    <w:p w14:paraId="4D087EF1" w14:textId="071F5392" w:rsidR="00FE2614" w:rsidRPr="00FE2614" w:rsidRDefault="00FE2614" w:rsidP="009E0059">
      <w:pPr>
        <w:pStyle w:val="BodyText"/>
        <w:numPr>
          <w:ilvl w:val="0"/>
          <w:numId w:val="2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>The person who can use this system is a person whose purpose of use matches the preceding paragraph and falls under any of the following.</w:t>
      </w:r>
    </w:p>
    <w:p w14:paraId="59FAC2B5" w14:textId="03B2C2F9" w:rsidR="00FE2614" w:rsidRDefault="00FE2614" w:rsidP="009E0059">
      <w:pPr>
        <w:pStyle w:val="BodyText"/>
        <w:numPr>
          <w:ilvl w:val="0"/>
          <w:numId w:val="4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A person who belongs to </w:t>
      </w:r>
      <w:r w:rsidR="008B7ECE">
        <w:rPr>
          <w:rFonts w:ascii="Century"/>
        </w:rPr>
        <w:t>CMCC</w:t>
      </w:r>
      <w:r w:rsidR="008B7ECE" w:rsidRPr="00FE2614">
        <w:rPr>
          <w:rFonts w:ascii="Century"/>
        </w:rPr>
        <w:t xml:space="preserve"> </w:t>
      </w:r>
      <w:r w:rsidRPr="00FE2614">
        <w:rPr>
          <w:rFonts w:ascii="Century"/>
        </w:rPr>
        <w:t xml:space="preserve">(hereinafter referred to as </w:t>
      </w:r>
      <w:r w:rsidR="008B7ECE">
        <w:rPr>
          <w:rFonts w:ascii="Century"/>
        </w:rPr>
        <w:t>“</w:t>
      </w:r>
      <w:r w:rsidRPr="00FE2614">
        <w:rPr>
          <w:rFonts w:ascii="Century"/>
        </w:rPr>
        <w:t>in-house user</w:t>
      </w:r>
      <w:r w:rsidR="008B7ECE">
        <w:rPr>
          <w:rFonts w:ascii="Century"/>
        </w:rPr>
        <w:t>”</w:t>
      </w:r>
      <w:r w:rsidRPr="00FE2614">
        <w:rPr>
          <w:rFonts w:ascii="Century"/>
        </w:rPr>
        <w:t>).</w:t>
      </w:r>
    </w:p>
    <w:p w14:paraId="51F4E4AA" w14:textId="04BF608A" w:rsidR="008B7ECE" w:rsidRDefault="008B7ECE" w:rsidP="009E0059">
      <w:pPr>
        <w:pStyle w:val="BodyText"/>
        <w:numPr>
          <w:ilvl w:val="0"/>
          <w:numId w:val="4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A person who </w:t>
      </w:r>
      <w:r>
        <w:rPr>
          <w:rFonts w:ascii="Century"/>
        </w:rPr>
        <w:t>is engaged in the project SATREPS-MACH</w:t>
      </w:r>
      <w:r w:rsidRPr="00FE2614">
        <w:rPr>
          <w:rFonts w:ascii="Century"/>
        </w:rPr>
        <w:t xml:space="preserve"> (hereinafter referred to as </w:t>
      </w:r>
      <w:r>
        <w:rPr>
          <w:rFonts w:ascii="Century"/>
        </w:rPr>
        <w:t>“</w:t>
      </w:r>
      <w:r>
        <w:rPr>
          <w:rFonts w:ascii="Century"/>
        </w:rPr>
        <w:t>project</w:t>
      </w:r>
      <w:r w:rsidRPr="00FE2614">
        <w:rPr>
          <w:rFonts w:ascii="Century"/>
        </w:rPr>
        <w:t xml:space="preserve"> user</w:t>
      </w:r>
      <w:r>
        <w:rPr>
          <w:rFonts w:ascii="Century"/>
        </w:rPr>
        <w:t>”</w:t>
      </w:r>
      <w:r w:rsidRPr="00FE2614">
        <w:rPr>
          <w:rFonts w:ascii="Century"/>
        </w:rPr>
        <w:t>).</w:t>
      </w:r>
    </w:p>
    <w:p w14:paraId="651DE37B" w14:textId="3CE749ED" w:rsidR="008B7ECE" w:rsidRPr="00FE2614" w:rsidRDefault="008B7ECE" w:rsidP="009E0059">
      <w:pPr>
        <w:pStyle w:val="BodyText"/>
        <w:numPr>
          <w:ilvl w:val="0"/>
          <w:numId w:val="4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Persons </w:t>
      </w:r>
      <w:r>
        <w:rPr>
          <w:rFonts w:ascii="Century"/>
        </w:rPr>
        <w:t xml:space="preserve">who is </w:t>
      </w:r>
      <w:r w:rsidRPr="00FE2614">
        <w:rPr>
          <w:rFonts w:ascii="Century"/>
        </w:rPr>
        <w:t xml:space="preserve">conducting joint research with members of </w:t>
      </w:r>
      <w:r>
        <w:rPr>
          <w:rFonts w:ascii="Century"/>
        </w:rPr>
        <w:t xml:space="preserve">the project users. </w:t>
      </w:r>
    </w:p>
    <w:p w14:paraId="040C8DD2" w14:textId="100BE0FE" w:rsidR="00FE2614" w:rsidRPr="00FE2614" w:rsidRDefault="00FE2614" w:rsidP="009E0059">
      <w:pPr>
        <w:pStyle w:val="BodyText"/>
        <w:numPr>
          <w:ilvl w:val="0"/>
          <w:numId w:val="4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Those who belong to </w:t>
      </w:r>
      <w:r w:rsidR="008B7ECE" w:rsidRPr="008B7ECE">
        <w:rPr>
          <w:rFonts w:ascii="Century"/>
        </w:rPr>
        <w:t xml:space="preserve">the Scientific and Technological Bioresource Nucleus </w:t>
      </w:r>
      <w:r w:rsidR="008B7ECE">
        <w:rPr>
          <w:rFonts w:ascii="Century"/>
        </w:rPr>
        <w:t>(hereinafter referred to as BIOREN), UFRO</w:t>
      </w:r>
      <w:r w:rsidRPr="00FE2614">
        <w:rPr>
          <w:rFonts w:ascii="Century"/>
        </w:rPr>
        <w:t>.</w:t>
      </w:r>
    </w:p>
    <w:p w14:paraId="70A972A0" w14:textId="32C32639" w:rsidR="00FE2614" w:rsidRPr="00FE2614" w:rsidRDefault="00FE2614" w:rsidP="009E0059">
      <w:pPr>
        <w:pStyle w:val="BodyText"/>
        <w:numPr>
          <w:ilvl w:val="0"/>
          <w:numId w:val="4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Persons conducting joint research with faculty members of departments and facilities of </w:t>
      </w:r>
      <w:r w:rsidR="008B7ECE">
        <w:rPr>
          <w:rFonts w:ascii="Century"/>
        </w:rPr>
        <w:t>CMCC, UFRO</w:t>
      </w:r>
    </w:p>
    <w:p w14:paraId="2F9F4CF3" w14:textId="039E2A28" w:rsidR="00FE2614" w:rsidRPr="00FE2614" w:rsidRDefault="00FE2614" w:rsidP="009E0059">
      <w:pPr>
        <w:pStyle w:val="BodyText"/>
        <w:numPr>
          <w:ilvl w:val="0"/>
          <w:numId w:val="4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>Other persons approved by the Information Management and Analysis Office</w:t>
      </w:r>
      <w:r w:rsidR="008B7ECE">
        <w:rPr>
          <w:rFonts w:ascii="Century"/>
        </w:rPr>
        <w:t>, CMCC</w:t>
      </w:r>
      <w:r w:rsidRPr="00FE2614">
        <w:rPr>
          <w:rFonts w:ascii="Century"/>
        </w:rPr>
        <w:t>.</w:t>
      </w:r>
    </w:p>
    <w:p w14:paraId="0D57E49E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</w:p>
    <w:p w14:paraId="7FEA28CF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  <w:r w:rsidRPr="00FE2614">
        <w:rPr>
          <w:rFonts w:ascii="Century"/>
        </w:rPr>
        <w:t>(Application and approval of use)</w:t>
      </w:r>
    </w:p>
    <w:p w14:paraId="552C7BDE" w14:textId="27129895" w:rsidR="00FE2614" w:rsidRPr="00FE2614" w:rsidRDefault="00FE2614" w:rsidP="009E0059">
      <w:pPr>
        <w:pStyle w:val="BodyText"/>
        <w:numPr>
          <w:ilvl w:val="0"/>
          <w:numId w:val="2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When using this system, submit the application form to the Information Management and Analysis </w:t>
      </w:r>
      <w:r w:rsidR="006037AF">
        <w:rPr>
          <w:rFonts w:ascii="Century"/>
        </w:rPr>
        <w:t>Office</w:t>
      </w:r>
      <w:r w:rsidRPr="00FE2614">
        <w:rPr>
          <w:rFonts w:ascii="Century"/>
        </w:rPr>
        <w:t xml:space="preserve"> for approval. However, for </w:t>
      </w:r>
      <w:r w:rsidR="00AD24C0">
        <w:rPr>
          <w:rFonts w:ascii="Century"/>
        </w:rPr>
        <w:t xml:space="preserve">users other than in-house users or project users (hereinafter referred to as </w:t>
      </w:r>
      <w:r w:rsidR="00AD24C0">
        <w:rPr>
          <w:rFonts w:ascii="Century"/>
        </w:rPr>
        <w:t>“</w:t>
      </w:r>
      <w:r w:rsidR="00AD24C0" w:rsidRPr="00FE2614">
        <w:rPr>
          <w:rFonts w:ascii="Century"/>
        </w:rPr>
        <w:t>out-of-office users</w:t>
      </w:r>
      <w:r w:rsidR="00AD24C0">
        <w:rPr>
          <w:rFonts w:ascii="Century"/>
        </w:rPr>
        <w:t>”</w:t>
      </w:r>
      <w:r w:rsidR="00AD24C0">
        <w:rPr>
          <w:rFonts w:ascii="Century"/>
        </w:rPr>
        <w:t>)</w:t>
      </w:r>
      <w:r w:rsidRPr="00FE2614">
        <w:rPr>
          <w:rFonts w:ascii="Century"/>
        </w:rPr>
        <w:t>, submit an application for out-of-office users every year. For in-house users</w:t>
      </w:r>
      <w:r w:rsidR="00504250">
        <w:rPr>
          <w:rFonts w:ascii="Century"/>
        </w:rPr>
        <w:t xml:space="preserve"> and project users</w:t>
      </w:r>
      <w:r w:rsidRPr="00FE2614">
        <w:rPr>
          <w:rFonts w:ascii="Century"/>
        </w:rPr>
        <w:t>, submit a continuation application form when using beyond the year.</w:t>
      </w:r>
    </w:p>
    <w:p w14:paraId="2698D86E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</w:p>
    <w:p w14:paraId="50B3B333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  <w:r w:rsidRPr="00FE2614">
        <w:rPr>
          <w:rFonts w:ascii="Century"/>
        </w:rPr>
        <w:t>(Notes on use)</w:t>
      </w:r>
    </w:p>
    <w:p w14:paraId="18EE910F" w14:textId="6399A0DA" w:rsidR="00FE2614" w:rsidRPr="00FE2614" w:rsidRDefault="00FE2614" w:rsidP="009E0059">
      <w:pPr>
        <w:pStyle w:val="BodyText"/>
        <w:numPr>
          <w:ilvl w:val="0"/>
          <w:numId w:val="2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>When using this system, keep the following points in mind:</w:t>
      </w:r>
    </w:p>
    <w:p w14:paraId="133FA4A6" w14:textId="47C281A0" w:rsidR="00FE2614" w:rsidRPr="00FE2614" w:rsidRDefault="00FE2614" w:rsidP="009E0059">
      <w:pPr>
        <w:pStyle w:val="BodyText"/>
        <w:numPr>
          <w:ilvl w:val="0"/>
          <w:numId w:val="5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>Important communications regarding the operation of the system will be made by e-mail to the account of the system. Be aware of these communications and follow the necessary instructions.</w:t>
      </w:r>
    </w:p>
    <w:p w14:paraId="0B9C30A0" w14:textId="4E87D89B" w:rsidR="00FE2614" w:rsidRPr="00FE2614" w:rsidRDefault="00FE2614" w:rsidP="009E0059">
      <w:pPr>
        <w:pStyle w:val="BodyText"/>
        <w:numPr>
          <w:ilvl w:val="0"/>
          <w:numId w:val="5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>If it is determined that a user has performed an act that would seriously hinder the operation of this system, the Information Management and Analysis Office may temporarily or permanently revoke the user's use qualification.</w:t>
      </w:r>
    </w:p>
    <w:p w14:paraId="277B4001" w14:textId="53864198" w:rsidR="00FE2614" w:rsidRPr="009E0059" w:rsidRDefault="00FE2614" w:rsidP="009E0059">
      <w:pPr>
        <w:pStyle w:val="BodyText"/>
        <w:numPr>
          <w:ilvl w:val="0"/>
          <w:numId w:val="5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 xml:space="preserve">For other precautions, please refer to the homepage of the Information Management and Analysis </w:t>
      </w:r>
      <w:r w:rsidR="008B1BA3">
        <w:rPr>
          <w:rFonts w:ascii="Century"/>
        </w:rPr>
        <w:t>Office</w:t>
      </w:r>
      <w:r w:rsidR="00754AF9">
        <w:rPr>
          <w:rFonts w:ascii="Century"/>
        </w:rPr>
        <w:t>, CMCC</w:t>
      </w:r>
      <w:r w:rsidR="009E0059">
        <w:rPr>
          <w:rFonts w:ascii="Century"/>
        </w:rPr>
        <w:t xml:space="preserve"> </w:t>
      </w:r>
      <w:r w:rsidRPr="009E0059">
        <w:rPr>
          <w:rFonts w:ascii="Century"/>
        </w:rPr>
        <w:t>(</w:t>
      </w:r>
      <w:r w:rsidR="00754AF9" w:rsidRPr="009E0059">
        <w:rPr>
          <w:rFonts w:ascii="Century"/>
        </w:rPr>
        <w:t>h</w:t>
      </w:r>
      <w:r w:rsidRPr="009E0059">
        <w:rPr>
          <w:rFonts w:ascii="Century"/>
        </w:rPr>
        <w:t>ttp://www.</w:t>
      </w:r>
      <w:r w:rsidR="00754AF9" w:rsidRPr="009E0059">
        <w:rPr>
          <w:rFonts w:ascii="Century"/>
        </w:rPr>
        <w:t>***</w:t>
      </w:r>
      <w:r w:rsidRPr="009E0059">
        <w:rPr>
          <w:rFonts w:ascii="Century"/>
        </w:rPr>
        <w:t>).</w:t>
      </w:r>
    </w:p>
    <w:p w14:paraId="3E533A70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</w:p>
    <w:p w14:paraId="19F59D87" w14:textId="77777777" w:rsidR="00FE2614" w:rsidRPr="00FE2614" w:rsidRDefault="00FE2614" w:rsidP="00FE2614">
      <w:pPr>
        <w:pStyle w:val="BodyText"/>
        <w:spacing w:before="4" w:line="297" w:lineRule="auto"/>
        <w:ind w:left="559"/>
        <w:rPr>
          <w:rFonts w:ascii="Century"/>
        </w:rPr>
      </w:pPr>
      <w:r w:rsidRPr="00FE2614">
        <w:rPr>
          <w:rFonts w:ascii="Century"/>
        </w:rPr>
        <w:t>(Usage report)</w:t>
      </w:r>
    </w:p>
    <w:p w14:paraId="7EA8F86A" w14:textId="0F67AA02" w:rsidR="00FE2614" w:rsidRPr="00FE2614" w:rsidRDefault="00FE2614" w:rsidP="009E0059">
      <w:pPr>
        <w:pStyle w:val="BodyText"/>
        <w:numPr>
          <w:ilvl w:val="0"/>
          <w:numId w:val="2"/>
        </w:numPr>
        <w:spacing w:before="4" w:line="297" w:lineRule="auto"/>
        <w:rPr>
          <w:rFonts w:ascii="Century"/>
        </w:rPr>
      </w:pPr>
      <w:r w:rsidRPr="00FE2614">
        <w:rPr>
          <w:rFonts w:ascii="Century"/>
        </w:rPr>
        <w:t>Users must submit a usage report at the end of the fiscal year. When a user publishes the research results using this system in an academic paper, etc., clearly indicate that this system has been used, and submit a reprint or copy of the presentation to the Information Management and Analysis Office. Refer to the following for descriptions in English.</w:t>
      </w:r>
    </w:p>
    <w:p w14:paraId="4A209FAA" w14:textId="77777777" w:rsidR="000F4658" w:rsidRDefault="000F4658" w:rsidP="009E0059">
      <w:pPr>
        <w:pStyle w:val="BodyText"/>
        <w:spacing w:before="4" w:line="297" w:lineRule="auto"/>
        <w:ind w:left="993"/>
        <w:rPr>
          <w:rFonts w:ascii="Century"/>
        </w:rPr>
      </w:pPr>
      <w:r>
        <w:rPr>
          <w:rFonts w:ascii="Century"/>
        </w:rPr>
        <w:t>###</w:t>
      </w:r>
    </w:p>
    <w:p w14:paraId="691D2988" w14:textId="6CBF646C" w:rsidR="00F032BF" w:rsidRDefault="00830D0F" w:rsidP="009E0059">
      <w:pPr>
        <w:pStyle w:val="BodyText"/>
        <w:spacing w:before="4" w:line="297" w:lineRule="auto"/>
        <w:ind w:left="993"/>
        <w:rPr>
          <w:rFonts w:ascii="Century"/>
        </w:rPr>
      </w:pPr>
      <w:r w:rsidRPr="00830D0F">
        <w:rPr>
          <w:rFonts w:ascii="Century"/>
        </w:rPr>
        <w:t>Computational resources were provided by the Center of Modeling and Computational Science, University of La Frontera, Chile</w:t>
      </w:r>
      <w:r w:rsidR="00E37DB4">
        <w:rPr>
          <w:rFonts w:ascii="Century"/>
        </w:rPr>
        <w:t xml:space="preserve"> in cooperation with SATREPS-MACH</w:t>
      </w:r>
      <w:r w:rsidR="00AE472B">
        <w:rPr>
          <w:rFonts w:ascii="Century"/>
        </w:rPr>
        <w:t xml:space="preserve"> project</w:t>
      </w:r>
      <w:r w:rsidR="00FE2614" w:rsidRPr="00FE2614">
        <w:rPr>
          <w:rFonts w:ascii="Century"/>
        </w:rPr>
        <w:t>.</w:t>
      </w:r>
    </w:p>
    <w:p w14:paraId="057C659E" w14:textId="1B3D05FB" w:rsidR="000F4658" w:rsidRDefault="000F4658" w:rsidP="009E0059">
      <w:pPr>
        <w:pStyle w:val="BodyText"/>
        <w:spacing w:before="4" w:line="297" w:lineRule="auto"/>
        <w:ind w:left="993"/>
        <w:rPr>
          <w:rFonts w:ascii="Century"/>
        </w:rPr>
      </w:pPr>
      <w:r>
        <w:rPr>
          <w:rFonts w:ascii="Century"/>
        </w:rPr>
        <w:t>###</w:t>
      </w:r>
      <w:bookmarkStart w:id="0" w:name="_GoBack"/>
      <w:bookmarkEnd w:id="0"/>
    </w:p>
    <w:p w14:paraId="6EAB23BA" w14:textId="36868C5C" w:rsidR="008025F5" w:rsidRDefault="008025F5" w:rsidP="00FE2614">
      <w:pPr>
        <w:pStyle w:val="BodyText"/>
        <w:spacing w:before="4" w:line="297" w:lineRule="auto"/>
        <w:ind w:left="559"/>
        <w:rPr>
          <w:rFonts w:ascii="Century"/>
        </w:rPr>
      </w:pPr>
    </w:p>
    <w:p w14:paraId="62C36D93" w14:textId="77777777" w:rsidR="008025F5" w:rsidRDefault="008025F5" w:rsidP="00FE2614">
      <w:pPr>
        <w:pStyle w:val="BodyText"/>
        <w:spacing w:before="4" w:line="297" w:lineRule="auto"/>
        <w:ind w:left="559"/>
        <w:rPr>
          <w:rFonts w:ascii="Century"/>
        </w:rPr>
      </w:pPr>
    </w:p>
    <w:sectPr w:rsidR="008025F5">
      <w:headerReference w:type="default" r:id="rId7"/>
      <w:footerReference w:type="even" r:id="rId8"/>
      <w:footerReference w:type="default" r:id="rId9"/>
      <w:type w:val="continuous"/>
      <w:pgSz w:w="11910" w:h="16840"/>
      <w:pgMar w:top="1600" w:right="15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1337" w14:textId="77777777" w:rsidR="005572E7" w:rsidRDefault="005572E7" w:rsidP="00EF47B0">
      <w:r>
        <w:separator/>
      </w:r>
    </w:p>
  </w:endnote>
  <w:endnote w:type="continuationSeparator" w:id="0">
    <w:p w14:paraId="41B26FE5" w14:textId="77777777" w:rsidR="005572E7" w:rsidRDefault="005572E7" w:rsidP="00EF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29248102"/>
      <w:docPartObj>
        <w:docPartGallery w:val="Page Numbers (Bottom of Page)"/>
        <w:docPartUnique/>
      </w:docPartObj>
    </w:sdtPr>
    <w:sdtContent>
      <w:p w14:paraId="3CA100F1" w14:textId="373231ED" w:rsidR="00EF47B0" w:rsidRDefault="00EF47B0" w:rsidP="00E15F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D08DD5" w14:textId="77777777" w:rsidR="00EF47B0" w:rsidRDefault="00EF47B0" w:rsidP="00EF4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52470739"/>
      <w:docPartObj>
        <w:docPartGallery w:val="Page Numbers (Bottom of Page)"/>
        <w:docPartUnique/>
      </w:docPartObj>
    </w:sdtPr>
    <w:sdtContent>
      <w:p w14:paraId="190A76E1" w14:textId="735AB16D" w:rsidR="00EF47B0" w:rsidRDefault="00EF47B0" w:rsidP="00E15F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85D1FF" w14:textId="6364FA76" w:rsidR="00EF47B0" w:rsidRDefault="00EF47B0" w:rsidP="00EF47B0">
    <w:pPr>
      <w:pStyle w:val="Footer"/>
      <w:ind w:right="360"/>
    </w:pPr>
    <w:r>
      <w:t>2020-01-16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0E0C" w14:textId="77777777" w:rsidR="005572E7" w:rsidRDefault="005572E7" w:rsidP="00EF47B0">
      <w:r>
        <w:separator/>
      </w:r>
    </w:p>
  </w:footnote>
  <w:footnote w:type="continuationSeparator" w:id="0">
    <w:p w14:paraId="09C90ABD" w14:textId="77777777" w:rsidR="005572E7" w:rsidRDefault="005572E7" w:rsidP="00EF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AEBB" w14:textId="12A93E64" w:rsidR="000D72C3" w:rsidRDefault="000D72C3">
    <w:pPr>
      <w:pStyle w:val="Header"/>
    </w:pPr>
    <w:r w:rsidRPr="000D72C3">
      <w:drawing>
        <wp:inline distT="0" distB="0" distL="0" distR="0" wp14:anchorId="16407268" wp14:editId="706A4B50">
          <wp:extent cx="876002" cy="684000"/>
          <wp:effectExtent l="0" t="0" r="635" b="1905"/>
          <wp:docPr id="11" name="Picture 10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F108734-0DD2-3C40-B0E3-94DF2BB61D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picture containing drawing&#10;&#10;Description automatically generated">
                    <a:extLst>
                      <a:ext uri="{FF2B5EF4-FFF2-40B4-BE49-F238E27FC236}">
                        <a16:creationId xmlns:a16="http://schemas.microsoft.com/office/drawing/2014/main" id="{EF108734-0DD2-3C40-B0E3-94DF2BB61D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002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87761C">
      <w:t>Rule of Usage</w:t>
    </w:r>
    <w:r>
      <w:ptab w:relativeTo="margin" w:alignment="right" w:leader="none"/>
    </w:r>
    <w:r w:rsidRPr="000D72C3">
      <w:drawing>
        <wp:inline distT="0" distB="0" distL="0" distR="0" wp14:anchorId="79056ECE" wp14:editId="4E7F5087">
          <wp:extent cx="486000" cy="648000"/>
          <wp:effectExtent l="0" t="0" r="0" b="0"/>
          <wp:docPr id="9" name="Picture 8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59281A7-0821-4549-B106-C312A46ECF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059281A7-0821-4549-B106-C312A46ECF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B55"/>
    <w:multiLevelType w:val="hybridMultilevel"/>
    <w:tmpl w:val="CB865800"/>
    <w:lvl w:ilvl="0" w:tplc="9C807078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BF31E5A"/>
    <w:multiLevelType w:val="hybridMultilevel"/>
    <w:tmpl w:val="E65258AE"/>
    <w:lvl w:ilvl="0" w:tplc="1A6CE272">
      <w:start w:val="1"/>
      <w:numFmt w:val="decimal"/>
      <w:lvlText w:val="(%1)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4567410B"/>
    <w:multiLevelType w:val="hybridMultilevel"/>
    <w:tmpl w:val="2DC41158"/>
    <w:lvl w:ilvl="0" w:tplc="9C807078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6E82348F"/>
    <w:multiLevelType w:val="hybridMultilevel"/>
    <w:tmpl w:val="15527296"/>
    <w:lvl w:ilvl="0" w:tplc="0409000F">
      <w:start w:val="1"/>
      <w:numFmt w:val="decimal"/>
      <w:lvlText w:val="%1."/>
      <w:lvlJc w:val="left"/>
      <w:pPr>
        <w:ind w:left="1279" w:hanging="360"/>
      </w:p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7BED070B"/>
    <w:multiLevelType w:val="hybridMultilevel"/>
    <w:tmpl w:val="BB702D3E"/>
    <w:lvl w:ilvl="0" w:tplc="3274123A">
      <w:start w:val="1"/>
      <w:numFmt w:val="decimal"/>
      <w:lvlText w:val="(%1)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BF"/>
    <w:rsid w:val="000D72C3"/>
    <w:rsid w:val="000F4658"/>
    <w:rsid w:val="00172393"/>
    <w:rsid w:val="00491FBF"/>
    <w:rsid w:val="00504250"/>
    <w:rsid w:val="0052349A"/>
    <w:rsid w:val="005572E7"/>
    <w:rsid w:val="005E1A5A"/>
    <w:rsid w:val="006037AF"/>
    <w:rsid w:val="006A3204"/>
    <w:rsid w:val="00754AF9"/>
    <w:rsid w:val="008025F5"/>
    <w:rsid w:val="00830D0F"/>
    <w:rsid w:val="0087761C"/>
    <w:rsid w:val="008B1BA3"/>
    <w:rsid w:val="008B7ECE"/>
    <w:rsid w:val="009E0059"/>
    <w:rsid w:val="00AD24C0"/>
    <w:rsid w:val="00AE472B"/>
    <w:rsid w:val="00B972BF"/>
    <w:rsid w:val="00BE746F"/>
    <w:rsid w:val="00CF7728"/>
    <w:rsid w:val="00E37DB4"/>
    <w:rsid w:val="00EA580E"/>
    <w:rsid w:val="00EF47B0"/>
    <w:rsid w:val="00F032BF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8979"/>
  <w15:docId w15:val="{40F03B8C-5162-5140-919D-8B4CA7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eastAsia="MS Mincho" w:hAnsi="MS Mincho" w:cs="MS Minch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7B0"/>
    <w:rPr>
      <w:rFonts w:ascii="MS Mincho" w:eastAsia="MS Mincho" w:hAnsi="MS Mincho" w:cs="MS Mincho"/>
    </w:rPr>
  </w:style>
  <w:style w:type="paragraph" w:styleId="Footer">
    <w:name w:val="footer"/>
    <w:basedOn w:val="Normal"/>
    <w:link w:val="FooterChar"/>
    <w:uiPriority w:val="99"/>
    <w:unhideWhenUsed/>
    <w:rsid w:val="00EF4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7B0"/>
    <w:rPr>
      <w:rFonts w:ascii="MS Mincho" w:eastAsia="MS Mincho" w:hAnsi="MS Mincho" w:cs="MS Mincho"/>
    </w:rPr>
  </w:style>
  <w:style w:type="character" w:styleId="PageNumber">
    <w:name w:val="page number"/>
    <w:basedOn w:val="DefaultParagraphFont"/>
    <w:uiPriority w:val="99"/>
    <w:semiHidden/>
    <w:unhideWhenUsed/>
    <w:rsid w:val="00EF47B0"/>
  </w:style>
  <w:style w:type="paragraph" w:styleId="BalloonText">
    <w:name w:val="Balloon Text"/>
    <w:basedOn w:val="Normal"/>
    <w:link w:val="BalloonTextChar"/>
    <w:uiPriority w:val="99"/>
    <w:semiHidden/>
    <w:unhideWhenUsed/>
    <w:rsid w:val="00EF47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B0"/>
    <w:rPr>
      <w:rFonts w:ascii="Times New Roman" w:eastAsia="MS Mincho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河合 幹彦</cp:lastModifiedBy>
  <cp:revision>7</cp:revision>
  <cp:lastPrinted>2020-01-17T13:11:00Z</cp:lastPrinted>
  <dcterms:created xsi:type="dcterms:W3CDTF">2020-01-17T13:01:00Z</dcterms:created>
  <dcterms:modified xsi:type="dcterms:W3CDTF">2020-01-17T13:13:00Z</dcterms:modified>
</cp:coreProperties>
</file>